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DE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9B2ADE" w:rsidRPr="00096F1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D4D42" w:rsidRPr="00096F1A" w:rsidRDefault="009B2ADE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ДАМАСКИНСКОЕ СЕЛЬСКОЕ ПОСЕЛЕНИЕ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6E7269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096F1A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B2ADE" w:rsidRPr="006E7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9B2ADE" w:rsidRPr="006E7269">
        <w:rPr>
          <w:rFonts w:ascii="Times New Roman" w:hAnsi="Times New Roman" w:cs="Times New Roman"/>
          <w:sz w:val="24"/>
          <w:szCs w:val="24"/>
        </w:rPr>
        <w:t>.2018</w:t>
      </w:r>
      <w:r w:rsidR="009D4D42" w:rsidRPr="006E7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2ADE" w:rsidRPr="006E72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4D42" w:rsidRPr="006E7269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89163E" w:rsidRDefault="0089163E" w:rsidP="0089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д.Дамаскино</w:t>
      </w:r>
    </w:p>
    <w:p w:rsidR="0089163E" w:rsidRPr="006E7269" w:rsidRDefault="0089163E" w:rsidP="008916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6E7269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096F1A" w:rsidRDefault="00712B9E" w:rsidP="0071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инфраструктуры </w:t>
      </w:r>
      <w:r w:rsidR="00F57CC5" w:rsidRPr="00096F1A">
        <w:rPr>
          <w:rFonts w:ascii="Times New Roman" w:hAnsi="Times New Roman" w:cs="Times New Roman"/>
          <w:b/>
          <w:sz w:val="24"/>
          <w:szCs w:val="24"/>
        </w:rPr>
        <w:t>Дамаскинского</w:t>
      </w:r>
      <w:r w:rsidR="009D4D42" w:rsidRPr="00096F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</w:t>
      </w:r>
      <w:r w:rsidR="00712B9E" w:rsidRPr="00096F1A">
        <w:rPr>
          <w:rFonts w:ascii="Times New Roman" w:hAnsi="Times New Roman" w:cs="Times New Roman"/>
          <w:b/>
          <w:sz w:val="24"/>
          <w:szCs w:val="24"/>
        </w:rPr>
        <w:t>бласти на период 2018</w:t>
      </w:r>
      <w:r w:rsidRPr="00096F1A">
        <w:rPr>
          <w:rFonts w:ascii="Times New Roman" w:hAnsi="Times New Roman" w:cs="Times New Roman"/>
          <w:b/>
          <w:sz w:val="24"/>
          <w:szCs w:val="24"/>
        </w:rPr>
        <w:t>- 202</w:t>
      </w:r>
      <w:r w:rsidR="00712B9E" w:rsidRPr="00096F1A">
        <w:rPr>
          <w:rFonts w:ascii="Times New Roman" w:hAnsi="Times New Roman" w:cs="Times New Roman"/>
          <w:b/>
          <w:sz w:val="24"/>
          <w:szCs w:val="24"/>
        </w:rPr>
        <w:t>7</w:t>
      </w:r>
      <w:r w:rsidRPr="00096F1A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9D4D42" w:rsidRPr="00096F1A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F57CC5">
        <w:rPr>
          <w:rFonts w:ascii="Times New Roman" w:hAnsi="Times New Roman" w:cs="Times New Roman"/>
          <w:sz w:val="24"/>
          <w:szCs w:val="24"/>
        </w:rPr>
        <w:t>Дамаскинское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области, </w:t>
      </w:r>
      <w:r w:rsidR="00F57CC5">
        <w:rPr>
          <w:rFonts w:ascii="Times New Roman" w:hAnsi="Times New Roman" w:cs="Times New Roman"/>
          <w:sz w:val="24"/>
          <w:szCs w:val="24"/>
        </w:rPr>
        <w:t xml:space="preserve"> проекта генерального плана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7CC5">
        <w:rPr>
          <w:rFonts w:ascii="Times New Roman" w:hAnsi="Times New Roman" w:cs="Times New Roman"/>
          <w:sz w:val="24"/>
          <w:szCs w:val="24"/>
        </w:rPr>
        <w:t>Дамаскинское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 района Кировской области</w:t>
      </w:r>
      <w:r w:rsidR="00F57CC5">
        <w:rPr>
          <w:rFonts w:ascii="Times New Roman" w:hAnsi="Times New Roman" w:cs="Times New Roman"/>
          <w:sz w:val="24"/>
          <w:szCs w:val="24"/>
        </w:rPr>
        <w:t>, администрация Дамаскинского сельского поселения  ПОСТАНОВЛЯЕТ</w:t>
      </w:r>
      <w:r w:rsidR="009D4D42" w:rsidRPr="00712B9E">
        <w:rPr>
          <w:rFonts w:ascii="Times New Roman" w:hAnsi="Times New Roman" w:cs="Times New Roman"/>
          <w:sz w:val="24"/>
          <w:szCs w:val="24"/>
        </w:rPr>
        <w:t>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Pr="00712B9E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F57CC5">
        <w:rPr>
          <w:rFonts w:ascii="Times New Roman" w:hAnsi="Times New Roman" w:cs="Times New Roman"/>
          <w:sz w:val="24"/>
          <w:szCs w:val="24"/>
        </w:rPr>
        <w:t>Дамаскинского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F57CC5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Дамаскинского</w:t>
      </w:r>
    </w:p>
    <w:p w:rsidR="009D4D42" w:rsidRPr="00712B9E" w:rsidRDefault="009D4D42" w:rsidP="009D4D4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F57CC5">
        <w:rPr>
          <w:rFonts w:ascii="Times New Roman" w:hAnsi="Times New Roman" w:cs="Times New Roman"/>
          <w:sz w:val="24"/>
          <w:szCs w:val="24"/>
        </w:rPr>
        <w:t xml:space="preserve">                             Г.В.Гумарова</w:t>
      </w:r>
    </w:p>
    <w:p w:rsidR="009D4D42" w:rsidRPr="00712B9E" w:rsidRDefault="009D4D42" w:rsidP="009D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F57CC5" w:rsidRDefault="00F57CC5" w:rsidP="009D4D42">
      <w:pPr>
        <w:rPr>
          <w:rFonts w:ascii="Times New Roman" w:hAnsi="Times New Roman" w:cs="Times New Roman"/>
          <w:sz w:val="24"/>
          <w:szCs w:val="24"/>
        </w:rPr>
      </w:pPr>
    </w:p>
    <w:p w:rsidR="00096F1A" w:rsidRDefault="00096F1A" w:rsidP="009D4D42">
      <w:pPr>
        <w:rPr>
          <w:rFonts w:ascii="Times New Roman" w:hAnsi="Times New Roman" w:cs="Times New Roman"/>
          <w:sz w:val="24"/>
          <w:szCs w:val="24"/>
        </w:rPr>
      </w:pPr>
    </w:p>
    <w:p w:rsidR="00F57CC5" w:rsidRDefault="00F57CC5" w:rsidP="009D4D42">
      <w:pPr>
        <w:rPr>
          <w:rFonts w:ascii="Times New Roman" w:hAnsi="Times New Roman" w:cs="Times New Roman"/>
          <w:sz w:val="24"/>
          <w:szCs w:val="24"/>
        </w:rPr>
      </w:pPr>
    </w:p>
    <w:p w:rsidR="00096F1A" w:rsidRDefault="00096F1A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89163E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57CC5" w:rsidRDefault="00C748F4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748F4" w:rsidRPr="00712B9E" w:rsidRDefault="00F57CC5" w:rsidP="00F5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Дамаскинского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8F4" w:rsidRPr="00712B9E" w:rsidRDefault="00F57CC5" w:rsidP="00F57C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6F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6F1A">
        <w:rPr>
          <w:rFonts w:ascii="Times New Roman" w:hAnsi="Times New Roman" w:cs="Times New Roman"/>
          <w:sz w:val="24"/>
          <w:szCs w:val="24"/>
        </w:rPr>
        <w:t>04</w:t>
      </w:r>
      <w:r w:rsidR="00712B9E" w:rsidRPr="00712B9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096F1A">
        <w:rPr>
          <w:rFonts w:ascii="Times New Roman" w:hAnsi="Times New Roman" w:cs="Times New Roman"/>
          <w:sz w:val="24"/>
          <w:szCs w:val="24"/>
        </w:rPr>
        <w:t>19</w:t>
      </w:r>
    </w:p>
    <w:p w:rsidR="00C748F4" w:rsidRPr="00712B9E" w:rsidRDefault="00C748F4" w:rsidP="00F57C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F57CC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Программа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комплексного развития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социальной инфраструктуры</w:t>
      </w:r>
    </w:p>
    <w:p w:rsidR="00C748F4" w:rsidRPr="006E7269" w:rsidRDefault="00F57CC5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ДАМАСКИНСКОГО</w:t>
      </w:r>
      <w:r w:rsidR="00C748F4" w:rsidRPr="006E7269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Кильмезского района Кировской области</w:t>
      </w:r>
    </w:p>
    <w:p w:rsidR="00C748F4" w:rsidRPr="006E7269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E7269">
        <w:rPr>
          <w:rFonts w:ascii="Times New Roman" w:hAnsi="Times New Roman" w:cs="Times New Roman"/>
          <w:caps/>
          <w:sz w:val="24"/>
          <w:szCs w:val="24"/>
        </w:rPr>
        <w:t>на</w:t>
      </w:r>
      <w:r w:rsidR="00712B9E" w:rsidRPr="006E7269">
        <w:rPr>
          <w:rFonts w:ascii="Times New Roman" w:hAnsi="Times New Roman" w:cs="Times New Roman"/>
          <w:caps/>
          <w:sz w:val="24"/>
          <w:szCs w:val="24"/>
        </w:rPr>
        <w:t xml:space="preserve"> ПЕРИОД</w:t>
      </w:r>
      <w:r w:rsidRPr="006E7269">
        <w:rPr>
          <w:rFonts w:ascii="Times New Roman" w:hAnsi="Times New Roman" w:cs="Times New Roman"/>
          <w:caps/>
          <w:sz w:val="24"/>
          <w:szCs w:val="24"/>
        </w:rPr>
        <w:t xml:space="preserve"> 2018 – 2027 годы</w:t>
      </w:r>
    </w:p>
    <w:p w:rsidR="00C748F4" w:rsidRPr="006E7269" w:rsidRDefault="00C748F4" w:rsidP="00C748F4">
      <w:pPr>
        <w:rPr>
          <w:rFonts w:ascii="Times New Roman" w:hAnsi="Times New Roman" w:cs="Times New Roman"/>
          <w:sz w:val="24"/>
          <w:szCs w:val="24"/>
        </w:rPr>
      </w:pPr>
      <w:r w:rsidRPr="006E7269">
        <w:rPr>
          <w:rFonts w:ascii="Times New Roman" w:hAnsi="Times New Roman" w:cs="Times New Roman"/>
          <w:sz w:val="24"/>
          <w:szCs w:val="24"/>
        </w:rPr>
        <w:br w:type="page"/>
      </w:r>
    </w:p>
    <w:p w:rsidR="00F57CC5" w:rsidRPr="00F57CC5" w:rsidRDefault="00C748F4" w:rsidP="00F57CC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комплексного развития социальной инфраструктуры </w:t>
      </w:r>
      <w:r w:rsidR="00F57CC5" w:rsidRPr="00F57CC5">
        <w:rPr>
          <w:rFonts w:ascii="Times New Roman" w:hAnsi="Times New Roman" w:cs="Times New Roman"/>
          <w:b/>
          <w:sz w:val="24"/>
          <w:szCs w:val="24"/>
        </w:rPr>
        <w:t xml:space="preserve">Дамаскинского </w:t>
      </w:r>
      <w:r w:rsidRPr="00F57CC5">
        <w:rPr>
          <w:rFonts w:ascii="Times New Roman" w:hAnsi="Times New Roman" w:cs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C748F4" w:rsidRPr="00F57CC5" w:rsidRDefault="00C748F4" w:rsidP="00F57CC5">
      <w:pPr>
        <w:pStyle w:val="a4"/>
        <w:ind w:left="1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CC5">
        <w:rPr>
          <w:rFonts w:ascii="Times New Roman" w:hAnsi="Times New Roman" w:cs="Times New Roman"/>
          <w:b/>
          <w:sz w:val="24"/>
          <w:szCs w:val="24"/>
        </w:rPr>
        <w:t>на 2018 – 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F57CC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Кильмезского района Кировской области на 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Кильмезского района Кировской области;</w:t>
            </w:r>
          </w:p>
          <w:p w:rsidR="00C748F4" w:rsidRPr="00712B9E" w:rsidRDefault="00C748F4" w:rsidP="002B3A1E">
            <w:pPr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Кильмезского  района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области, утвержденный решением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сельской  Думы от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F57CC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сельского поселение Кильмезского района Кировской области</w:t>
            </w:r>
          </w:p>
          <w:p w:rsidR="00C748F4" w:rsidRPr="00712B9E" w:rsidRDefault="00C748F4" w:rsidP="00F57CC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61358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Кильмезский  район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сбалансированного развития социальной инфраструктуры поселения в </w:t>
            </w: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Дамаскинского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маломобильных групп населения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здравоохранения,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повышение роли физкультуры и спорта в деле профилактики правонарушений,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молодых специалистов в 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поселение(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врачей,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учителей,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AC1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Срок  программы</w:t>
            </w:r>
            <w:proofErr w:type="gramEnd"/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03225C" w:rsidRPr="00712B9E" w:rsidRDefault="002B3A1E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бюджета,</w:t>
            </w:r>
            <w:r w:rsidR="0003225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 w:rsidRPr="00F57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225C" w:rsidRPr="00712B9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="0003225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60 тыс.</w:t>
            </w:r>
            <w:r w:rsidR="002B3A1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BA320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Дамаскинское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>зского района Кировской области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>, 20тыс.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</w:t>
      </w:r>
      <w:r w:rsidR="00BA3205">
        <w:rPr>
          <w:rFonts w:ascii="Times New Roman" w:hAnsi="Times New Roman" w:cs="Times New Roman"/>
          <w:sz w:val="24"/>
          <w:szCs w:val="24"/>
        </w:rPr>
        <w:t xml:space="preserve">134,01 </w:t>
      </w:r>
      <w:proofErr w:type="spellStart"/>
      <w:r w:rsidR="00BA3205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712B9E">
        <w:rPr>
          <w:rFonts w:ascii="Times New Roman" w:hAnsi="Times New Roman" w:cs="Times New Roman"/>
          <w:sz w:val="24"/>
          <w:szCs w:val="24"/>
        </w:rPr>
        <w:t>.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 данным на 01.01.201</w:t>
      </w:r>
      <w:r w:rsidR="00F57CC5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</w:t>
      </w:r>
      <w:r w:rsidR="00F57CC5">
        <w:rPr>
          <w:rFonts w:ascii="Times New Roman" w:hAnsi="Times New Roman" w:cs="Times New Roman"/>
          <w:sz w:val="24"/>
          <w:szCs w:val="24"/>
        </w:rPr>
        <w:t>533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748F4" w:rsidRPr="00712B9E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состав поселения входят </w:t>
      </w:r>
      <w:r w:rsidR="00D325F7">
        <w:rPr>
          <w:rFonts w:ascii="Times New Roman" w:hAnsi="Times New Roman" w:cs="Times New Roman"/>
          <w:sz w:val="24"/>
          <w:szCs w:val="24"/>
        </w:rPr>
        <w:t>10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Дамаскино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Кокуевка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Лебединск</w:t>
            </w:r>
            <w:proofErr w:type="spellEnd"/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Малыши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Мирный</w:t>
            </w:r>
          </w:p>
        </w:tc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Такашур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Хвощанка</w:t>
            </w:r>
            <w:proofErr w:type="spellEnd"/>
          </w:p>
        </w:tc>
        <w:tc>
          <w:tcPr>
            <w:tcW w:w="4530" w:type="dxa"/>
          </w:tcPr>
          <w:p w:rsidR="00D325F7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Четвериково</w:t>
            </w:r>
            <w:proofErr w:type="spellEnd"/>
          </w:p>
        </w:tc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5F7" w:rsidRPr="00712B9E" w:rsidTr="00410BA5"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Ясная Поляна</w:t>
            </w:r>
          </w:p>
        </w:tc>
        <w:tc>
          <w:tcPr>
            <w:tcW w:w="4530" w:type="dxa"/>
          </w:tcPr>
          <w:p w:rsidR="00D325F7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712B9E" w:rsidRDefault="00D325F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поселения на 01.01.201</w:t>
      </w:r>
      <w:r w:rsidR="00D325F7">
        <w:rPr>
          <w:rFonts w:ascii="Times New Roman" w:hAnsi="Times New Roman" w:cs="Times New Roman"/>
          <w:sz w:val="24"/>
          <w:szCs w:val="24"/>
        </w:rPr>
        <w:t>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D325F7">
        <w:rPr>
          <w:rFonts w:ascii="Times New Roman" w:hAnsi="Times New Roman" w:cs="Times New Roman"/>
          <w:sz w:val="24"/>
          <w:szCs w:val="24"/>
        </w:rPr>
        <w:t>533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D325F7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до 6 лет включительно – 15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человек, от 7 до 15 лет включительно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человек, от 16 до 17 лет включительно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Численность населения трудоспособного возраста составляет 2</w:t>
      </w:r>
      <w:r w:rsidR="00D325F7">
        <w:rPr>
          <w:rFonts w:ascii="Times New Roman" w:hAnsi="Times New Roman" w:cs="Times New Roman"/>
          <w:sz w:val="24"/>
          <w:szCs w:val="24"/>
        </w:rPr>
        <w:t>94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10BA5" w:rsidRPr="00712B9E">
        <w:rPr>
          <w:rFonts w:ascii="Times New Roman" w:hAnsi="Times New Roman" w:cs="Times New Roman"/>
          <w:sz w:val="24"/>
          <w:szCs w:val="24"/>
        </w:rPr>
        <w:t>5</w:t>
      </w:r>
      <w:r w:rsidR="00D325F7">
        <w:rPr>
          <w:rFonts w:ascii="Times New Roman" w:hAnsi="Times New Roman" w:cs="Times New Roman"/>
          <w:sz w:val="24"/>
          <w:szCs w:val="24"/>
        </w:rPr>
        <w:t>5</w:t>
      </w:r>
      <w:r w:rsidR="00410BA5" w:rsidRPr="00712B9E">
        <w:rPr>
          <w:rFonts w:ascii="Times New Roman" w:hAnsi="Times New Roman" w:cs="Times New Roman"/>
          <w:sz w:val="24"/>
          <w:szCs w:val="24"/>
        </w:rPr>
        <w:t>,1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D325F7">
        <w:rPr>
          <w:rFonts w:ascii="Times New Roman" w:hAnsi="Times New Roman" w:cs="Times New Roman"/>
          <w:sz w:val="24"/>
          <w:szCs w:val="24"/>
        </w:rPr>
        <w:t>1</w:t>
      </w:r>
      <w:r w:rsidR="00410BA5" w:rsidRPr="00712B9E">
        <w:rPr>
          <w:rFonts w:ascii="Times New Roman" w:hAnsi="Times New Roman" w:cs="Times New Roman"/>
          <w:sz w:val="24"/>
          <w:szCs w:val="24"/>
        </w:rPr>
        <w:t>79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325F7">
        <w:rPr>
          <w:rFonts w:ascii="Times New Roman" w:hAnsi="Times New Roman" w:cs="Times New Roman"/>
          <w:sz w:val="24"/>
          <w:szCs w:val="24"/>
        </w:rPr>
        <w:t>33</w:t>
      </w:r>
      <w:r w:rsidR="00410BA5" w:rsidRPr="00712B9E">
        <w:rPr>
          <w:rFonts w:ascii="Times New Roman" w:hAnsi="Times New Roman" w:cs="Times New Roman"/>
          <w:sz w:val="24"/>
          <w:szCs w:val="24"/>
        </w:rPr>
        <w:t>,5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</w:t>
      </w:r>
      <w:r w:rsidR="009436F3">
        <w:rPr>
          <w:rFonts w:ascii="Times New Roman" w:hAnsi="Times New Roman" w:cs="Times New Roman"/>
          <w:sz w:val="24"/>
          <w:szCs w:val="24"/>
        </w:rPr>
        <w:t>е лица пенсионного возраста – 10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36F3">
        <w:rPr>
          <w:rFonts w:ascii="Times New Roman" w:hAnsi="Times New Roman" w:cs="Times New Roman"/>
          <w:sz w:val="24"/>
          <w:szCs w:val="24"/>
        </w:rPr>
        <w:t>1</w:t>
      </w:r>
      <w:r w:rsidRPr="00712B9E">
        <w:rPr>
          <w:rFonts w:ascii="Times New Roman" w:hAnsi="Times New Roman" w:cs="Times New Roman"/>
          <w:sz w:val="24"/>
          <w:szCs w:val="24"/>
        </w:rPr>
        <w:t>,</w:t>
      </w:r>
      <w:r w:rsidR="009436F3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9436F3">
        <w:rPr>
          <w:rFonts w:ascii="Times New Roman" w:hAnsi="Times New Roman" w:cs="Times New Roman"/>
          <w:sz w:val="24"/>
          <w:szCs w:val="24"/>
        </w:rPr>
        <w:t>169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36F3">
        <w:rPr>
          <w:rFonts w:ascii="Times New Roman" w:hAnsi="Times New Roman" w:cs="Times New Roman"/>
          <w:sz w:val="24"/>
          <w:szCs w:val="24"/>
        </w:rPr>
        <w:t>31</w:t>
      </w:r>
      <w:r w:rsidR="00410BA5" w:rsidRPr="00712B9E">
        <w:rPr>
          <w:rFonts w:ascii="Times New Roman" w:hAnsi="Times New Roman" w:cs="Times New Roman"/>
          <w:sz w:val="24"/>
          <w:szCs w:val="24"/>
        </w:rPr>
        <w:t>,7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276"/>
        <w:gridCol w:w="1276"/>
        <w:gridCol w:w="1268"/>
      </w:tblGrid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943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748F4" w:rsidRPr="00712B9E" w:rsidRDefault="00D635F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712B9E" w:rsidRDefault="006A6889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48F4" w:rsidRPr="00712B9E" w:rsidRDefault="00FD027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FD027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490392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712B9E" w:rsidRDefault="0075271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276" w:type="dxa"/>
          </w:tcPr>
          <w:p w:rsidR="00C748F4" w:rsidRPr="00712B9E" w:rsidRDefault="009436F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68" w:type="dxa"/>
          </w:tcPr>
          <w:p w:rsidR="00C748F4" w:rsidRPr="00712B9E" w:rsidRDefault="009436F3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6C5" w:rsidRPr="008866C5" w:rsidRDefault="008866C5" w:rsidP="0088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6C5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идет на </w:t>
      </w:r>
      <w:r w:rsidR="002B3A1E" w:rsidRPr="008866C5">
        <w:rPr>
          <w:rFonts w:ascii="Times New Roman" w:hAnsi="Times New Roman" w:cs="Times New Roman"/>
          <w:sz w:val="24"/>
          <w:szCs w:val="24"/>
        </w:rPr>
        <w:t>убыль</w:t>
      </w:r>
      <w:r w:rsidR="002B3A1E">
        <w:rPr>
          <w:rFonts w:ascii="Times New Roman" w:hAnsi="Times New Roman" w:cs="Times New Roman"/>
          <w:sz w:val="24"/>
          <w:szCs w:val="24"/>
        </w:rPr>
        <w:t>,</w:t>
      </w:r>
      <w:r w:rsidR="002B3A1E" w:rsidRPr="008866C5">
        <w:rPr>
          <w:rFonts w:ascii="Times New Roman" w:hAnsi="Times New Roman" w:cs="Times New Roman"/>
          <w:sz w:val="24"/>
          <w:szCs w:val="24"/>
        </w:rPr>
        <w:t xml:space="preserve"> так</w:t>
      </w:r>
      <w:r w:rsidRPr="008866C5">
        <w:rPr>
          <w:rFonts w:ascii="Times New Roman" w:hAnsi="Times New Roman" w:cs="Times New Roman"/>
          <w:sz w:val="24"/>
          <w:szCs w:val="24"/>
        </w:rPr>
        <w:t xml:space="preserve"> как смертность превышает рождаемость. Баланс населения также уменьшается. </w:t>
      </w:r>
    </w:p>
    <w:p w:rsidR="008866C5" w:rsidRDefault="008866C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B3A1E" w:rsidRPr="00712B9E">
        <w:rPr>
          <w:rFonts w:ascii="Times New Roman" w:hAnsi="Times New Roman" w:cs="Times New Roman"/>
          <w:sz w:val="24"/>
          <w:szCs w:val="24"/>
        </w:rPr>
        <w:t>поселение</w:t>
      </w:r>
      <w:r w:rsidR="002B3A1E">
        <w:rPr>
          <w:rFonts w:ascii="Times New Roman" w:hAnsi="Times New Roman" w:cs="Times New Roman"/>
          <w:sz w:val="24"/>
          <w:szCs w:val="24"/>
        </w:rPr>
        <w:t xml:space="preserve"> за</w:t>
      </w:r>
      <w:r w:rsidR="00752714">
        <w:rPr>
          <w:rFonts w:ascii="Times New Roman" w:hAnsi="Times New Roman" w:cs="Times New Roman"/>
          <w:sz w:val="24"/>
          <w:szCs w:val="24"/>
        </w:rPr>
        <w:t xml:space="preserve"> январь-декабрь 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10BA5" w:rsidRPr="00712B9E">
        <w:rPr>
          <w:rFonts w:ascii="Times New Roman" w:hAnsi="Times New Roman" w:cs="Times New Roman"/>
          <w:sz w:val="24"/>
          <w:szCs w:val="24"/>
        </w:rPr>
        <w:t>0,2 млн. рублей.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752714">
        <w:rPr>
          <w:rFonts w:ascii="Times New Roman" w:hAnsi="Times New Roman" w:cs="Times New Roman"/>
          <w:sz w:val="24"/>
          <w:szCs w:val="24"/>
        </w:rPr>
        <w:t>Дамаскинское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="00756B5F">
        <w:rPr>
          <w:rFonts w:ascii="Times New Roman" w:hAnsi="Times New Roman" w:cs="Times New Roman"/>
          <w:sz w:val="24"/>
          <w:szCs w:val="24"/>
        </w:rPr>
        <w:t>поселение н</w:t>
      </w:r>
      <w:r w:rsidRPr="00712B9E">
        <w:rPr>
          <w:rFonts w:ascii="Times New Roman" w:hAnsi="Times New Roman" w:cs="Times New Roman"/>
          <w:sz w:val="24"/>
          <w:szCs w:val="24"/>
        </w:rPr>
        <w:t>а 201</w:t>
      </w:r>
      <w:r w:rsidR="00756B5F">
        <w:rPr>
          <w:rFonts w:ascii="Times New Roman" w:hAnsi="Times New Roman" w:cs="Times New Roman"/>
          <w:sz w:val="24"/>
          <w:szCs w:val="24"/>
        </w:rPr>
        <w:t>8 год по доходам составляет</w:t>
      </w: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410BA5" w:rsidRPr="00712B9E">
        <w:rPr>
          <w:rFonts w:ascii="Times New Roman" w:hAnsi="Times New Roman" w:cs="Times New Roman"/>
          <w:sz w:val="24"/>
          <w:szCs w:val="24"/>
        </w:rPr>
        <w:t>1</w:t>
      </w:r>
      <w:r w:rsidR="00756B5F">
        <w:rPr>
          <w:rFonts w:ascii="Times New Roman" w:hAnsi="Times New Roman" w:cs="Times New Roman"/>
          <w:sz w:val="24"/>
          <w:szCs w:val="24"/>
        </w:rPr>
        <w:t>823</w:t>
      </w:r>
      <w:r w:rsidR="00410BA5" w:rsidRPr="00712B9E">
        <w:rPr>
          <w:rFonts w:ascii="Times New Roman" w:hAnsi="Times New Roman" w:cs="Times New Roman"/>
          <w:sz w:val="24"/>
          <w:szCs w:val="24"/>
        </w:rPr>
        <w:t>,</w:t>
      </w:r>
      <w:r w:rsidR="00756B5F">
        <w:rPr>
          <w:rFonts w:ascii="Times New Roman" w:hAnsi="Times New Roman" w:cs="Times New Roman"/>
          <w:sz w:val="24"/>
          <w:szCs w:val="24"/>
        </w:rPr>
        <w:t>1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</w:t>
      </w:r>
      <w:r w:rsidR="00756B5F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410BA5" w:rsidRPr="00712B9E">
        <w:rPr>
          <w:rFonts w:ascii="Times New Roman" w:hAnsi="Times New Roman" w:cs="Times New Roman"/>
          <w:sz w:val="24"/>
          <w:szCs w:val="24"/>
        </w:rPr>
        <w:t>1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586</w:t>
      </w:r>
      <w:r w:rsidR="00756B5F">
        <w:rPr>
          <w:rFonts w:ascii="Times New Roman" w:hAnsi="Times New Roman" w:cs="Times New Roman"/>
          <w:sz w:val="24"/>
          <w:szCs w:val="24"/>
        </w:rPr>
        <w:t>,</w:t>
      </w:r>
      <w:r w:rsidR="003547B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Социальная сфера</w:t>
      </w:r>
    </w:p>
    <w:p w:rsidR="00703589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201</w:t>
      </w:r>
      <w:r w:rsidR="00703589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году среднесписочная численность занятых в экономике составила </w:t>
      </w:r>
      <w:r w:rsidR="002B3A1E" w:rsidRPr="00712B9E">
        <w:rPr>
          <w:rFonts w:ascii="Times New Roman" w:hAnsi="Times New Roman" w:cs="Times New Roman"/>
          <w:sz w:val="24"/>
          <w:szCs w:val="24"/>
        </w:rPr>
        <w:t>21</w:t>
      </w:r>
      <w:r w:rsidR="002B3A1E">
        <w:rPr>
          <w:rFonts w:ascii="Times New Roman" w:hAnsi="Times New Roman" w:cs="Times New Roman"/>
          <w:sz w:val="24"/>
          <w:szCs w:val="24"/>
        </w:rPr>
        <w:t>6</w:t>
      </w:r>
      <w:r w:rsidR="002B3A1E" w:rsidRPr="00712B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12B9E">
        <w:rPr>
          <w:rFonts w:ascii="Times New Roman" w:hAnsi="Times New Roman" w:cs="Times New Roman"/>
          <w:sz w:val="24"/>
          <w:szCs w:val="24"/>
        </w:rPr>
        <w:t>. П</w:t>
      </w:r>
      <w:r w:rsidR="00703589">
        <w:rPr>
          <w:rFonts w:ascii="Times New Roman" w:hAnsi="Times New Roman" w:cs="Times New Roman"/>
          <w:sz w:val="24"/>
          <w:szCs w:val="24"/>
        </w:rPr>
        <w:t>о состоянию на 01 января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703589">
        <w:rPr>
          <w:rFonts w:ascii="Times New Roman" w:hAnsi="Times New Roman" w:cs="Times New Roman"/>
          <w:sz w:val="24"/>
          <w:szCs w:val="24"/>
        </w:rPr>
        <w:t>7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2.2.Сведения о градостроительной деятельности на территории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</w:t>
      </w:r>
      <w:r w:rsidR="00047D0E">
        <w:rPr>
          <w:rFonts w:ascii="Times New Roman" w:hAnsi="Times New Roman" w:cs="Times New Roman"/>
          <w:sz w:val="24"/>
          <w:szCs w:val="24"/>
        </w:rPr>
        <w:t>5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 201</w:t>
      </w:r>
      <w:r w:rsidR="00047D0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на территории поселения введено:</w:t>
      </w:r>
    </w:p>
    <w:p w:rsidR="00C748F4" w:rsidRPr="00712B9E" w:rsidRDefault="00047D0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65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047D0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объектов производственного назначения.</w:t>
      </w: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="00300A6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здравоохранения, физической культуры и </w:t>
      </w:r>
      <w:r w:rsidR="002B3A1E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спорта,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1 школа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дошкольной </w:t>
      </w:r>
      <w:r w:rsidR="002B3A1E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группой.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учащихся составляет </w:t>
      </w:r>
      <w:r w:rsidR="00047D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047D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ошкольную группу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детей дошкольного возраста составляет </w:t>
      </w:r>
      <w:r w:rsidR="00047D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439"/>
        <w:gridCol w:w="2043"/>
        <w:gridCol w:w="1321"/>
        <w:gridCol w:w="1304"/>
        <w:gridCol w:w="2350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учреждение 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 дошкольной группой.</w:t>
            </w:r>
          </w:p>
        </w:tc>
        <w:tc>
          <w:tcPr>
            <w:tcW w:w="1912" w:type="dxa"/>
          </w:tcPr>
          <w:p w:rsidR="00C748F4" w:rsidRPr="00712B9E" w:rsidRDefault="00047D0E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04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7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C748F4" w:rsidRPr="00712B9E" w:rsidRDefault="00047D0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BD428B">
        <w:rPr>
          <w:rFonts w:ascii="Times New Roman" w:hAnsi="Times New Roman" w:cs="Times New Roman"/>
          <w:sz w:val="24"/>
          <w:szCs w:val="24"/>
        </w:rPr>
        <w:t>кий состав. В школе трудится 4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Средний возраст педагогических работников более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акушерских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BD42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519" w:type="dxa"/>
          </w:tcPr>
          <w:p w:rsidR="00C748F4" w:rsidRPr="00712B9E" w:rsidRDefault="00300A65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C748F4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C748F4" w:rsidRPr="00712B9E" w:rsidRDefault="008866C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D428B" w:rsidRPr="00712B9E" w:rsidTr="00300A65">
        <w:tc>
          <w:tcPr>
            <w:tcW w:w="519" w:type="dxa"/>
          </w:tcPr>
          <w:p w:rsidR="00BD428B" w:rsidRPr="00712B9E" w:rsidRDefault="00BD428B" w:rsidP="00BD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BD428B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д.Малыши</w:t>
            </w:r>
            <w:proofErr w:type="spellEnd"/>
          </w:p>
          <w:p w:rsidR="00BD428B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321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BD428B" w:rsidRPr="00712B9E" w:rsidRDefault="002B3A1E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428B" w:rsidRPr="00712B9E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</w:tcPr>
          <w:p w:rsidR="00C748F4" w:rsidRPr="00712B9E" w:rsidRDefault="00C748F4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младшего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C748F4" w:rsidRPr="00712B9E" w:rsidRDefault="00BD428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8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</w:p>
        </w:tc>
        <w:tc>
          <w:tcPr>
            <w:tcW w:w="2199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:rsidR="00C748F4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D428B" w:rsidRPr="00712B9E" w:rsidTr="007D615A">
        <w:tc>
          <w:tcPr>
            <w:tcW w:w="526" w:type="dxa"/>
          </w:tcPr>
          <w:p w:rsidR="00BD428B" w:rsidRPr="00712B9E" w:rsidRDefault="00BD428B" w:rsidP="00BD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199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4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50" w:type="dxa"/>
          </w:tcPr>
          <w:p w:rsidR="00BD428B" w:rsidRPr="00712B9E" w:rsidRDefault="00BD428B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В зимний период молодежь поселения катается </w:t>
      </w:r>
      <w:r w:rsidR="002B3A1E" w:rsidRPr="00712B9E">
        <w:rPr>
          <w:rFonts w:ascii="Times New Roman" w:hAnsi="Times New Roman" w:cs="Times New Roman"/>
          <w:sz w:val="24"/>
          <w:szCs w:val="24"/>
        </w:rPr>
        <w:t>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осуществляют: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дом к</w:t>
      </w:r>
      <w:r w:rsidR="00BD428B">
        <w:rPr>
          <w:rFonts w:ascii="Times New Roman" w:hAnsi="Times New Roman" w:cs="Times New Roman"/>
          <w:sz w:val="24"/>
          <w:szCs w:val="24"/>
        </w:rPr>
        <w:t>ультуры с библиотекой в д. Дамаскино</w:t>
      </w:r>
      <w:r w:rsidR="001C2D31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C748F4" w:rsidRPr="00712B9E" w:rsidRDefault="00D36708" w:rsidP="00D3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Дамаскинский сельский Дом культуры ф.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C748F4" w:rsidRPr="00712B9E" w:rsidRDefault="007D615A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Солнечная,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4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9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0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3547BE">
              <w:rPr>
                <w:rFonts w:ascii="Times New Roman" w:hAnsi="Times New Roman" w:cs="Times New Roman"/>
                <w:sz w:val="24"/>
                <w:szCs w:val="24"/>
              </w:rPr>
              <w:t>ся капремонт</w:t>
            </w:r>
          </w:p>
        </w:tc>
      </w:tr>
      <w:tr w:rsidR="00D36708" w:rsidRPr="00712B9E" w:rsidTr="007D615A">
        <w:tc>
          <w:tcPr>
            <w:tcW w:w="462" w:type="dxa"/>
          </w:tcPr>
          <w:p w:rsidR="00D36708" w:rsidRPr="00712B9E" w:rsidRDefault="00D36708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6708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МБС» Дамаскинская сельская библиотека -филиал</w:t>
            </w:r>
          </w:p>
        </w:tc>
        <w:tc>
          <w:tcPr>
            <w:tcW w:w="2076" w:type="dxa"/>
          </w:tcPr>
          <w:p w:rsidR="00D36708" w:rsidRPr="00712B9E" w:rsidRDefault="00D36708" w:rsidP="00BD4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Д.Дамаскино,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259" w:type="dxa"/>
          </w:tcPr>
          <w:p w:rsidR="00D36708" w:rsidRPr="00712B9E" w:rsidRDefault="00D3670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0" w:type="dxa"/>
          </w:tcPr>
          <w:p w:rsidR="00D36708" w:rsidRPr="00712B9E" w:rsidRDefault="00834B6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капремонт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В Доме культуры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</w:t>
      </w:r>
      <w:r w:rsidR="002F089E" w:rsidRPr="00712B9E">
        <w:t xml:space="preserve"> </w:t>
      </w:r>
      <w:r w:rsidRPr="00712B9E">
        <w:t xml:space="preserve">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Задача в культурно-досуговых учреждениях – вводить инновационные формы организации досуга населения и увеличить процент охвата населения</w:t>
      </w:r>
      <w:r w:rsidR="00BD428B">
        <w:t>.</w:t>
      </w:r>
      <w:r w:rsidRPr="00712B9E">
        <w:t xml:space="preserve">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C748F4" w:rsidRPr="00712B9E" w:rsidRDefault="00C748F4" w:rsidP="00C10AF5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 изменения численности населения поселения на период до 2028 года построен на основе фактических данных о численности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</w:t>
      </w:r>
      <w:r w:rsidR="00C10AF5">
        <w:rPr>
          <w:rFonts w:ascii="Times New Roman" w:hAnsi="Times New Roman" w:cs="Times New Roman"/>
          <w:sz w:val="24"/>
          <w:szCs w:val="24"/>
        </w:rPr>
        <w:t>Дамаскинское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на основе сведений о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распределении населения по полу и возрасту. Прогноз изменения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численности населения, обусловленная созданием комфортных социальных условий для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проживания граждан, в том числе молодых семей, что в свою очередь будет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способствовать восстановлению процессов естественного прироста населения.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9B2ADE">
          <w:headerReference w:type="default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F5681">
        <w:rPr>
          <w:rFonts w:ascii="Times New Roman" w:hAnsi="Times New Roman" w:cs="Times New Roman"/>
          <w:sz w:val="24"/>
          <w:szCs w:val="24"/>
        </w:rPr>
        <w:t>Дамаскинского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80AB7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17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8" w:type="dxa"/>
          </w:tcPr>
          <w:p w:rsidR="00C748F4" w:rsidRPr="00712B9E" w:rsidRDefault="00780AB7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8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7" w:type="dxa"/>
          </w:tcPr>
          <w:p w:rsidR="00C748F4" w:rsidRPr="00712B9E" w:rsidRDefault="00AF5681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" w:type="dxa"/>
          </w:tcPr>
          <w:p w:rsidR="00C748F4" w:rsidRPr="00712B9E" w:rsidRDefault="00AF5681" w:rsidP="00AF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748F4" w:rsidRPr="00712B9E" w:rsidRDefault="00C748F4" w:rsidP="00834B68">
      <w:pPr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834B68" w:rsidRDefault="00834B68" w:rsidP="00834B68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C748F4" w:rsidRPr="00834B68" w:rsidRDefault="00834B68" w:rsidP="00834B68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  <w:sectPr w:rsidR="00C748F4" w:rsidRPr="00834B68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2.4.4. Прогнозируемый спрос на услуги социальной инфраструктуры исходя из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прогноза численности населения, выбытия из эксплуатации объектов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большей степени существующим уровнем обеспеченности населения объектами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инфраструктуры: данные о существующих объектах социальной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свидетельствуют о недостаточном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-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детскими </w:t>
      </w:r>
      <w:r w:rsidR="00CE39B8" w:rsidRPr="00712B9E">
        <w:rPr>
          <w:rFonts w:ascii="Times New Roman" w:hAnsi="Times New Roman" w:cs="Times New Roman"/>
          <w:sz w:val="24"/>
          <w:szCs w:val="24"/>
        </w:rPr>
        <w:t>садами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7602">
        <w:rPr>
          <w:rFonts w:ascii="Times New Roman" w:hAnsi="Times New Roman" w:cs="Times New Roman"/>
          <w:sz w:val="24"/>
          <w:szCs w:val="24"/>
        </w:rPr>
        <w:t xml:space="preserve"> Постановлением  Правительства Российской Федерации от 01.10.2015 № 1050 « Об утверждении требований к программам комплексного развития социальной инфраструктуры поселении, городских округов» </w:t>
      </w:r>
      <w:r w:rsidRPr="00712B9E">
        <w:rPr>
          <w:rFonts w:ascii="Times New Roman" w:hAnsi="Times New Roman" w:cs="Times New Roman"/>
          <w:sz w:val="24"/>
          <w:szCs w:val="24"/>
        </w:rPr>
        <w:t>основой разработки программ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являются государственные и муниципальные программы, стратегии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поселения, планы мероприятий по реализации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развития, планы и программы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</w:t>
      </w:r>
      <w:r w:rsidR="00CE39B8" w:rsidRPr="00712B9E">
        <w:rPr>
          <w:rFonts w:ascii="Times New Roman" w:hAnsi="Times New Roman" w:cs="Times New Roman"/>
          <w:sz w:val="24"/>
          <w:szCs w:val="24"/>
        </w:rPr>
        <w:t>разования, документы о развитии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комплексном освоении территорий.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образования разрабатывалась на основе: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генерального плана поселения </w:t>
      </w:r>
    </w:p>
    <w:p w:rsidR="00CE39B8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Также при разработке Программы учтены местные нормативы градостроительного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проектирования муниципального образования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</w:t>
      </w:r>
      <w:r w:rsidR="00CF19F6" w:rsidRPr="00712B9E">
        <w:rPr>
          <w:rFonts w:ascii="Times New Roman" w:hAnsi="Times New Roman" w:cs="Times New Roman"/>
          <w:sz w:val="24"/>
          <w:szCs w:val="24"/>
        </w:rPr>
        <w:t>планировании в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Федеральный Закон 172 ФЗ) регламентированы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муниципальных образований, согласованных с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приоритетами и целями социально-экономического развития Российской Федерации 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 по вопросам, отнесенным к полномочиям органов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мониторинг и контроль реализации документов стратегического планирования,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иные полномочия в сфере стратегического планирования, определенные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полномочия Главы поселения входит общее руководство разработкой и внесение на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Таким образом, следует отметить, что существующей нормативно-правовой базы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достаточно для функционирования и развития социальной инфраструктуры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3.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Исходя из существующего уровня обеспеченности населения услугами социальной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инфраструктуры, а также потребности населения в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таких услугах на перспективу сформирован перечень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мероприятий (инвестиционных проектов) по проектированию, строительству,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реконструкции объектов социальной инфраструктуры.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Перечень мероприятий разделен на 2 группы: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Группа I. Мероприятия (инвестиционные проекты) по реконструкции</w:t>
      </w:r>
      <w:r w:rsidR="00CE39B8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существующих объектов социальной инфраструктуры: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</w:t>
      </w:r>
    </w:p>
    <w:p w:rsidR="00C748F4" w:rsidRDefault="001F5B82" w:rsidP="001F5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B82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C748F4" w:rsidRPr="001F5B82">
        <w:rPr>
          <w:rFonts w:ascii="Times New Roman" w:hAnsi="Times New Roman" w:cs="Times New Roman"/>
          <w:sz w:val="24"/>
          <w:szCs w:val="24"/>
        </w:rPr>
        <w:t xml:space="preserve"> Дома</w:t>
      </w:r>
      <w:proofErr w:type="gramEnd"/>
      <w:r w:rsidR="00C748F4" w:rsidRPr="001F5B8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1C2D31">
        <w:rPr>
          <w:rFonts w:ascii="Times New Roman" w:hAnsi="Times New Roman" w:cs="Times New Roman"/>
          <w:sz w:val="24"/>
          <w:szCs w:val="24"/>
        </w:rPr>
        <w:t xml:space="preserve"> </w:t>
      </w:r>
      <w:r w:rsidR="00CE39B8" w:rsidRPr="001F5B82">
        <w:rPr>
          <w:rFonts w:ascii="Times New Roman" w:hAnsi="Times New Roman" w:cs="Times New Roman"/>
          <w:sz w:val="24"/>
          <w:szCs w:val="24"/>
        </w:rPr>
        <w:t xml:space="preserve"> д. </w:t>
      </w:r>
      <w:r w:rsidR="00CF19F6" w:rsidRPr="001F5B82">
        <w:rPr>
          <w:rFonts w:ascii="Times New Roman" w:hAnsi="Times New Roman" w:cs="Times New Roman"/>
          <w:sz w:val="24"/>
          <w:szCs w:val="24"/>
        </w:rPr>
        <w:t>Дамаскино</w:t>
      </w:r>
      <w:r w:rsidRPr="001F5B82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734D2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1F5B82" w:rsidRPr="001F5B82" w:rsidRDefault="001F5B82" w:rsidP="001F5B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1C2D31">
        <w:rPr>
          <w:rFonts w:ascii="Times New Roman" w:hAnsi="Times New Roman" w:cs="Times New Roman"/>
          <w:sz w:val="24"/>
          <w:szCs w:val="24"/>
        </w:rPr>
        <w:t xml:space="preserve">сельской </w:t>
      </w:r>
      <w:r>
        <w:rPr>
          <w:rFonts w:ascii="Times New Roman" w:hAnsi="Times New Roman" w:cs="Times New Roman"/>
          <w:sz w:val="24"/>
          <w:szCs w:val="24"/>
        </w:rPr>
        <w:t>библиотеки в здание школы.</w:t>
      </w:r>
    </w:p>
    <w:p w:rsidR="001F5B82" w:rsidRPr="00734D2C" w:rsidRDefault="001F5B82" w:rsidP="00096F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Группа II. Мероприятия (инвестиционные проекты) по новому строительству</w:t>
      </w:r>
      <w:r w:rsidR="00D1410E" w:rsidRPr="00712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инфраструктуры:</w:t>
      </w:r>
    </w:p>
    <w:p w:rsidR="00C748F4" w:rsidRPr="00712B9E" w:rsidRDefault="008D2AD4" w:rsidP="008D2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-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Детальный перечень мероприятий (инвестиционных проектов) по проектированию,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представлен в</w:t>
      </w:r>
      <w:r w:rsidR="00C475B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таблице 3.1.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" w:tblpY="663"/>
        <w:tblW w:w="14560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701"/>
        <w:gridCol w:w="1134"/>
        <w:gridCol w:w="1134"/>
        <w:gridCol w:w="1701"/>
        <w:gridCol w:w="567"/>
        <w:gridCol w:w="709"/>
        <w:gridCol w:w="709"/>
        <w:gridCol w:w="709"/>
        <w:gridCol w:w="708"/>
        <w:gridCol w:w="3402"/>
        <w:gridCol w:w="1524"/>
      </w:tblGrid>
      <w:tr w:rsidR="00397A7E" w:rsidRPr="00712B9E" w:rsidTr="00397A7E">
        <w:tc>
          <w:tcPr>
            <w:tcW w:w="562" w:type="dxa"/>
            <w:gridSpan w:val="2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мероприятий(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инвестиционныхпроектов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видамобъектов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социальнойинфраструктуры</w:t>
            </w:r>
            <w:proofErr w:type="spellEnd"/>
          </w:p>
        </w:tc>
        <w:tc>
          <w:tcPr>
            <w:tcW w:w="113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701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proofErr w:type="spell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экономическиепараметры</w:t>
            </w:r>
            <w:proofErr w:type="spell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6804" w:type="dxa"/>
            <w:gridSpan w:val="6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1524" w:type="dxa"/>
            <w:vMerge w:val="restart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97A7E" w:rsidRPr="00712B9E" w:rsidTr="00397A7E">
        <w:tc>
          <w:tcPr>
            <w:tcW w:w="562" w:type="dxa"/>
            <w:gridSpan w:val="2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2027</w:t>
            </w:r>
          </w:p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397A7E">
        <w:tc>
          <w:tcPr>
            <w:tcW w:w="14560" w:type="dxa"/>
            <w:gridSpan w:val="13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397A7E" w:rsidRPr="00712B9E" w:rsidTr="00397A7E">
        <w:tc>
          <w:tcPr>
            <w:tcW w:w="14560" w:type="dxa"/>
            <w:gridSpan w:val="13"/>
          </w:tcPr>
          <w:p w:rsidR="00397A7E" w:rsidRPr="00712B9E" w:rsidRDefault="00397A7E" w:rsidP="00397A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  <w:p w:rsidR="00397A7E" w:rsidRPr="00712B9E" w:rsidRDefault="00397A7E" w:rsidP="00397A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AC24C5">
        <w:tc>
          <w:tcPr>
            <w:tcW w:w="5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29" w:type="dxa"/>
            <w:gridSpan w:val="2"/>
          </w:tcPr>
          <w:p w:rsidR="00397A7E" w:rsidRPr="00712B9E" w:rsidRDefault="001F5B82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</w:t>
            </w:r>
            <w:r w:rsidR="00397A7E" w:rsidRPr="00712B9E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  <w:proofErr w:type="gramEnd"/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1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 ул. Солнечная, 10</w:t>
            </w:r>
            <w:r w:rsidR="00734D2C">
              <w:rPr>
                <w:rFonts w:ascii="Times New Roman" w:hAnsi="Times New Roman" w:cs="Times New Roman"/>
                <w:sz w:val="24"/>
                <w:szCs w:val="24"/>
              </w:rPr>
              <w:t>/д.Дамаскино ул.Советская,64</w:t>
            </w:r>
          </w:p>
        </w:tc>
        <w:tc>
          <w:tcPr>
            <w:tcW w:w="1701" w:type="dxa"/>
          </w:tcPr>
          <w:p w:rsidR="00397A7E" w:rsidRPr="00712B9E" w:rsidRDefault="00397A7E" w:rsidP="0035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этажное здание. Площадь </w:t>
            </w:r>
            <w:r w:rsidR="001F5B8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м2. Го</w:t>
            </w:r>
            <w:r w:rsidR="001F5B82">
              <w:rPr>
                <w:rFonts w:ascii="Times New Roman" w:hAnsi="Times New Roman" w:cs="Times New Roman"/>
                <w:sz w:val="24"/>
                <w:szCs w:val="24"/>
              </w:rPr>
              <w:t>д постройки 1989</w:t>
            </w:r>
            <w:r w:rsidR="00AF5681">
              <w:rPr>
                <w:rFonts w:ascii="Times New Roman" w:hAnsi="Times New Roman" w:cs="Times New Roman"/>
                <w:sz w:val="24"/>
                <w:szCs w:val="24"/>
              </w:rPr>
              <w:t xml:space="preserve"> год. Капремонт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проводился.</w:t>
            </w: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7E" w:rsidRPr="00712B9E" w:rsidTr="00AC24C5">
        <w:tc>
          <w:tcPr>
            <w:tcW w:w="5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9" w:type="dxa"/>
            <w:gridSpan w:val="2"/>
          </w:tcPr>
          <w:p w:rsidR="00397A7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библиотеки в здание школы</w:t>
            </w:r>
          </w:p>
          <w:p w:rsidR="00734D2C" w:rsidRPr="00712B9E" w:rsidRDefault="00734D2C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134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Дамаскино ул. Солнечная, 10/д.Дамаскино ул.Советская,64</w:t>
            </w:r>
          </w:p>
        </w:tc>
        <w:tc>
          <w:tcPr>
            <w:tcW w:w="1701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этажное здание.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м2.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постройки 1989 год. Капремонт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</w:t>
            </w:r>
          </w:p>
        </w:tc>
        <w:tc>
          <w:tcPr>
            <w:tcW w:w="567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7A7E" w:rsidRPr="00712B9E" w:rsidRDefault="00AC24C5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709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7A7E" w:rsidRPr="00712B9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97A7E" w:rsidRDefault="00397A7E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2C" w:rsidRPr="00712B9E" w:rsidRDefault="00734D2C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3.1.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¹КР - капитальный ремонт</w:t>
      </w:r>
    </w:p>
    <w:p w:rsidR="00346311" w:rsidRPr="00712B9E" w:rsidRDefault="00346311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²СМР – строительно-монтажные работы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³ПИР – проектно-изыскательские работы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4.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</w:t>
      </w:r>
      <w:r w:rsidR="003B3010" w:rsidRPr="00712B9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B3010">
        <w:rPr>
          <w:rFonts w:ascii="Times New Roman" w:hAnsi="Times New Roman" w:cs="Times New Roman"/>
          <w:sz w:val="24"/>
          <w:szCs w:val="24"/>
        </w:rPr>
        <w:t>80</w:t>
      </w:r>
      <w:r w:rsidR="002F089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рублей, в том</w:t>
      </w:r>
      <w:r w:rsidR="00474EBC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числе:</w:t>
      </w:r>
    </w:p>
    <w:p w:rsidR="002F089E" w:rsidRPr="00712B9E" w:rsidRDefault="002F089E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Ср</w:t>
      </w:r>
      <w:r w:rsidR="00AC24C5">
        <w:rPr>
          <w:rFonts w:ascii="Times New Roman" w:hAnsi="Times New Roman" w:cs="Times New Roman"/>
          <w:sz w:val="24"/>
          <w:szCs w:val="24"/>
        </w:rPr>
        <w:t>едства федерального бюджета - 0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12B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Кировской </w:t>
      </w:r>
      <w:r w:rsidR="003B3010" w:rsidRPr="00712B9E">
        <w:rPr>
          <w:rFonts w:ascii="Times New Roman" w:hAnsi="Times New Roman" w:cs="Times New Roman"/>
          <w:sz w:val="24"/>
          <w:szCs w:val="24"/>
        </w:rPr>
        <w:t>области -</w:t>
      </w:r>
      <w:r w:rsidR="00AC24C5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района </w:t>
      </w:r>
      <w:r w:rsidR="00BC6BC8">
        <w:rPr>
          <w:rFonts w:ascii="Times New Roman" w:hAnsi="Times New Roman" w:cs="Times New Roman"/>
          <w:sz w:val="24"/>
          <w:szCs w:val="24"/>
        </w:rPr>
        <w:t>–</w:t>
      </w:r>
      <w:r w:rsidR="00AC24C5">
        <w:rPr>
          <w:rFonts w:ascii="Times New Roman" w:hAnsi="Times New Roman" w:cs="Times New Roman"/>
          <w:sz w:val="24"/>
          <w:szCs w:val="24"/>
        </w:rPr>
        <w:t xml:space="preserve"> </w:t>
      </w:r>
      <w:r w:rsidR="00BC6BC8">
        <w:rPr>
          <w:rFonts w:ascii="Times New Roman" w:hAnsi="Times New Roman" w:cs="Times New Roman"/>
          <w:sz w:val="24"/>
          <w:szCs w:val="24"/>
        </w:rPr>
        <w:t>60</w:t>
      </w:r>
      <w:r w:rsidR="00633BFC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тыс. рублей;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средства бюджета муниципального образования </w:t>
      </w:r>
      <w:r w:rsidR="008D2AD4" w:rsidRPr="00712B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C6BC8">
        <w:rPr>
          <w:rFonts w:ascii="Times New Roman" w:hAnsi="Times New Roman" w:cs="Times New Roman"/>
          <w:sz w:val="24"/>
          <w:szCs w:val="24"/>
        </w:rPr>
        <w:t xml:space="preserve">– 20 </w:t>
      </w:r>
      <w:r w:rsidRPr="00712B9E">
        <w:rPr>
          <w:rFonts w:ascii="Times New Roman" w:hAnsi="Times New Roman" w:cs="Times New Roman"/>
          <w:sz w:val="24"/>
          <w:szCs w:val="24"/>
        </w:rPr>
        <w:t>тыс. рублей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</w:t>
      </w:r>
      <w:r w:rsidR="003C3DE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проектов) по проектированию, строительству, реконструкции объектов социальной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представлена в таблице 4.1</w:t>
      </w:r>
      <w:r w:rsidR="00951FC3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4.1. Оценка объемов и источников финансирования мероприятий (инвестиционных проектов) по проектированию,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строительству, реконструкции объектов социальной инфраструктуры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559"/>
        <w:gridCol w:w="1484"/>
        <w:gridCol w:w="572"/>
        <w:gridCol w:w="572"/>
        <w:gridCol w:w="572"/>
        <w:gridCol w:w="572"/>
        <w:gridCol w:w="572"/>
        <w:gridCol w:w="572"/>
        <w:gridCol w:w="1372"/>
      </w:tblGrid>
      <w:tr w:rsidR="00C748F4" w:rsidRPr="00712B9E" w:rsidTr="008D2AD4">
        <w:tc>
          <w:tcPr>
            <w:tcW w:w="438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9" w:type="dxa"/>
            <w:vMerge w:val="restart"/>
          </w:tcPr>
          <w:p w:rsidR="00C748F4" w:rsidRPr="00712B9E" w:rsidRDefault="00C748F4" w:rsidP="002B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мероприятий(</w:t>
            </w:r>
            <w:proofErr w:type="gramEnd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проектов) по видам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84" w:type="dxa"/>
            <w:vMerge w:val="restart"/>
          </w:tcPr>
          <w:p w:rsidR="00C748F4" w:rsidRPr="00712B9E" w:rsidRDefault="00C748F4" w:rsidP="002B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D1410E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2B3A1E"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432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8D2AD4">
        <w:tc>
          <w:tcPr>
            <w:tcW w:w="43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8D2AD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2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– 2027</w:t>
            </w:r>
          </w:p>
        </w:tc>
        <w:tc>
          <w:tcPr>
            <w:tcW w:w="1373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8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8" w:type="dxa"/>
            <w:gridSpan w:val="9"/>
          </w:tcPr>
          <w:p w:rsidR="00C748F4" w:rsidRPr="00712B9E" w:rsidRDefault="008D2AD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BFC" w:rsidRPr="00712B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9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здания Дома культуры</w:t>
            </w:r>
            <w:r w:rsidR="002C1A0E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другое здание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E7" w:rsidRPr="00712B9E" w:rsidTr="008D2AD4">
        <w:tc>
          <w:tcPr>
            <w:tcW w:w="438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3C3DE7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C3DE7" w:rsidRPr="00712B9E" w:rsidRDefault="003C3DE7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района 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3C3D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484" w:type="dxa"/>
          </w:tcPr>
          <w:p w:rsidR="00C748F4" w:rsidRPr="00712B9E" w:rsidRDefault="00BC6BC8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484" w:type="dxa"/>
          </w:tcPr>
          <w:p w:rsidR="00C748F4" w:rsidRPr="00712B9E" w:rsidRDefault="003C3DE7" w:rsidP="003C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 мероприятий I: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20" w:rsidRPr="00712B9E" w:rsidTr="008D2AD4">
        <w:tc>
          <w:tcPr>
            <w:tcW w:w="438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037820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037820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037820" w:rsidRPr="00712B9E" w:rsidRDefault="00037820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</w:t>
            </w:r>
            <w:r w:rsidR="00037820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тного бюджета Кильмезского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484" w:type="dxa"/>
          </w:tcPr>
          <w:p w:rsidR="00C748F4" w:rsidRPr="00712B9E" w:rsidRDefault="00BC6BC8" w:rsidP="002C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0378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</w:p>
        </w:tc>
        <w:tc>
          <w:tcPr>
            <w:tcW w:w="1484" w:type="dxa"/>
          </w:tcPr>
          <w:p w:rsidR="00C748F4" w:rsidRPr="00712B9E" w:rsidRDefault="00BC6BC8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BC6BC8" w:rsidP="0003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BC6BC8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48" w:type="dxa"/>
            <w:gridSpan w:val="9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037820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8D2AD4">
        <w:tc>
          <w:tcPr>
            <w:tcW w:w="438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группам мероприятий I и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C03" w:rsidRPr="00712B9E" w:rsidTr="008D2AD4">
        <w:tc>
          <w:tcPr>
            <w:tcW w:w="438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D72C03" w:rsidRPr="00712B9E" w:rsidRDefault="00D72C03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84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72C03" w:rsidRPr="00712B9E" w:rsidRDefault="00D72C03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8D2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D72C03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  <w:r w:rsidR="00C748F4"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местного бюджета поселения </w:t>
            </w:r>
            <w:r w:rsidRPr="00712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Кировской области</w:t>
            </w: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8F4" w:rsidRPr="00712B9E" w:rsidTr="008D2AD4">
        <w:tc>
          <w:tcPr>
            <w:tcW w:w="43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C748F4" w:rsidRPr="00712B9E" w:rsidRDefault="00C748F4" w:rsidP="00D72C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>Дамаскинское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установлены по мероприятиям (инвестиционным проектам) </w:t>
      </w:r>
      <w:r w:rsidRPr="00712B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группы (строительства новых объектов социальной инфраструктуры).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Расчет целевых индикаторов произведен в соответствии со следующими документами:</w:t>
      </w:r>
    </w:p>
    <w:p w:rsidR="00C748F4" w:rsidRPr="00712B9E" w:rsidRDefault="00AC124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48F4" w:rsidRPr="00712B9E">
        <w:rPr>
          <w:rFonts w:ascii="Times New Roman" w:hAnsi="Times New Roman" w:cs="Times New Roman"/>
          <w:sz w:val="24"/>
          <w:szCs w:val="24"/>
        </w:rPr>
        <w:t>риказ Министерства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10">
        <w:rPr>
          <w:rFonts w:ascii="Times New Roman" w:hAnsi="Times New Roman" w:cs="Times New Roman"/>
          <w:sz w:val="24"/>
          <w:szCs w:val="24"/>
        </w:rPr>
        <w:t>России от</w:t>
      </w:r>
      <w:r>
        <w:rPr>
          <w:rFonts w:ascii="Times New Roman" w:hAnsi="Times New Roman" w:cs="Times New Roman"/>
          <w:sz w:val="24"/>
          <w:szCs w:val="24"/>
        </w:rPr>
        <w:t xml:space="preserve"> 30.06.2016 № 423 </w:t>
      </w:r>
      <w:r w:rsidR="00CF19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37602">
        <w:rPr>
          <w:rFonts w:ascii="Times New Roman" w:hAnsi="Times New Roman" w:cs="Times New Roman"/>
          <w:sz w:val="24"/>
          <w:szCs w:val="24"/>
        </w:rPr>
        <w:t>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</w:t>
      </w:r>
      <w:r>
        <w:rPr>
          <w:rFonts w:ascii="Times New Roman" w:hAnsi="Times New Roman" w:cs="Times New Roman"/>
          <w:sz w:val="24"/>
          <w:szCs w:val="24"/>
        </w:rPr>
        <w:t>знании утратившим силу приказа М</w:t>
      </w:r>
      <w:r w:rsidR="00037602">
        <w:rPr>
          <w:rFonts w:ascii="Times New Roman" w:hAnsi="Times New Roman" w:cs="Times New Roman"/>
          <w:sz w:val="24"/>
          <w:szCs w:val="24"/>
        </w:rPr>
        <w:t>инэкономразвития России от 30 ноября 2009 года № 492»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муниципального образования </w:t>
      </w:r>
      <w:r w:rsidR="00CF19F6">
        <w:rPr>
          <w:rFonts w:ascii="Times New Roman" w:hAnsi="Times New Roman" w:cs="Times New Roman"/>
          <w:sz w:val="24"/>
          <w:szCs w:val="24"/>
        </w:rPr>
        <w:t>Дамаскинского</w:t>
      </w:r>
      <w:r w:rsidR="00D1410E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19F6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Рассчитать 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5.1.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Таблица 5.1. Целевые индикаторы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725"/>
        <w:gridCol w:w="1858"/>
        <w:gridCol w:w="677"/>
        <w:gridCol w:w="562"/>
        <w:gridCol w:w="562"/>
        <w:gridCol w:w="600"/>
        <w:gridCol w:w="709"/>
        <w:gridCol w:w="709"/>
        <w:gridCol w:w="1381"/>
      </w:tblGrid>
      <w:tr w:rsidR="00C748F4" w:rsidRPr="00712B9E" w:rsidTr="003547BE">
        <w:tc>
          <w:tcPr>
            <w:tcW w:w="503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1858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819" w:type="dxa"/>
            <w:gridSpan w:val="6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748F4" w:rsidRPr="00712B9E" w:rsidTr="003547BE">
        <w:tc>
          <w:tcPr>
            <w:tcW w:w="503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2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C748F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48F4" w:rsidRPr="00712B9E" w:rsidRDefault="00397A7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48F4" w:rsidRPr="00712B9E" w:rsidRDefault="00C748F4" w:rsidP="0039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97A7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9"/>
          </w:tcPr>
          <w:p w:rsidR="00C748F4" w:rsidRPr="00712B9E" w:rsidRDefault="008D2AD4" w:rsidP="008D2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25" w:type="dxa"/>
          </w:tcPr>
          <w:p w:rsidR="00C748F4" w:rsidRPr="00712B9E" w:rsidRDefault="002D010A" w:rsidP="00354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BE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="008D2AD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2D010A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748F4" w:rsidRPr="00712B9E" w:rsidRDefault="00C748F4" w:rsidP="0017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77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2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2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600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9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709" w:type="dxa"/>
          </w:tcPr>
          <w:p w:rsidR="00C748F4" w:rsidRPr="00712B9E" w:rsidRDefault="003547BE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81" w:type="dxa"/>
            <w:vMerge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3547BE">
        <w:tc>
          <w:tcPr>
            <w:tcW w:w="503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748F4" w:rsidRPr="00712B9E" w:rsidRDefault="00C748F4" w:rsidP="00410B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6. Оценка эффективности мероприятий, включенных в программу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</w:t>
      </w:r>
      <w:r w:rsidRPr="00712B9E">
        <w:rPr>
          <w:rFonts w:ascii="Times New Roman" w:hAnsi="Times New Roman" w:cs="Times New Roman"/>
          <w:sz w:val="24"/>
          <w:szCs w:val="24"/>
        </w:rPr>
        <w:t>о района Кировской области.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мероприятий выражается: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улучшении условий качества жизни населения муниципального образования;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повышении уровня комфорта жизни за счет обеспеченности граждан услугами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здравоохранения, образования, культуры, физической культуры и спорта</w:t>
      </w:r>
      <w:r w:rsidR="00815F35" w:rsidRPr="00712B9E">
        <w:rPr>
          <w:rFonts w:ascii="Times New Roman" w:hAnsi="Times New Roman" w:cs="Times New Roman"/>
          <w:sz w:val="24"/>
          <w:szCs w:val="24"/>
        </w:rPr>
        <w:t>, почты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в необходимом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объеме;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в повышении доступности объектов социальной инфраструктуры для населения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эффективности мероприятий с точки зрения социально-экономического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фактора свидетельствуют целевые индикаторы Программы,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рассчитанные на основе </w:t>
      </w:r>
      <w:r w:rsidR="00AC1245">
        <w:rPr>
          <w:rFonts w:ascii="Times New Roman" w:hAnsi="Times New Roman" w:cs="Times New Roman"/>
          <w:sz w:val="24"/>
          <w:szCs w:val="24"/>
        </w:rPr>
        <w:t>П</w:t>
      </w:r>
      <w:r w:rsidR="00AC1245" w:rsidRPr="00712B9E">
        <w:rPr>
          <w:rFonts w:ascii="Times New Roman" w:hAnsi="Times New Roman" w:cs="Times New Roman"/>
          <w:sz w:val="24"/>
          <w:szCs w:val="24"/>
        </w:rPr>
        <w:t>риказ</w:t>
      </w:r>
      <w:r w:rsidR="00AC1245">
        <w:rPr>
          <w:rFonts w:ascii="Times New Roman" w:hAnsi="Times New Roman" w:cs="Times New Roman"/>
          <w:sz w:val="24"/>
          <w:szCs w:val="24"/>
        </w:rPr>
        <w:t>а</w:t>
      </w:r>
      <w:r w:rsidR="00AC1245" w:rsidRPr="00712B9E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</w:t>
      </w:r>
      <w:r w:rsidR="00AC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245">
        <w:rPr>
          <w:rFonts w:ascii="Times New Roman" w:hAnsi="Times New Roman" w:cs="Times New Roman"/>
          <w:sz w:val="24"/>
          <w:szCs w:val="24"/>
        </w:rPr>
        <w:t>России  от</w:t>
      </w:r>
      <w:proofErr w:type="gramEnd"/>
      <w:r w:rsidR="00AC1245">
        <w:rPr>
          <w:rFonts w:ascii="Times New Roman" w:hAnsi="Times New Roman" w:cs="Times New Roman"/>
          <w:sz w:val="24"/>
          <w:szCs w:val="24"/>
        </w:rPr>
        <w:t xml:space="preserve"> 30.06.2016 № 423 «Об утверждении Методических рекомендаций по разработке, корректировке, мониторингу среднесрочного прогноза социально-экономического развития Российской Федерации и о признании утратившим силу приказа Минэкономразвития России от 30 ноября 2009 года № 492»: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здравоохранения: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увеличение мощности учреждений,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оказывающих медицинскую помощь населению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 В области образования: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детей в дошкольных образовательных учреждениях </w:t>
      </w:r>
    </w:p>
    <w:p w:rsidR="00815F35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 увеличение численности обучающихся в общеобразовательных учреждениях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культуры:</w:t>
      </w:r>
    </w:p>
    <w:p w:rsidR="002D010A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</w:t>
      </w:r>
      <w:r w:rsidR="00815F35" w:rsidRPr="00712B9E">
        <w:rPr>
          <w:rFonts w:ascii="Times New Roman" w:hAnsi="Times New Roman" w:cs="Times New Roman"/>
          <w:sz w:val="24"/>
          <w:szCs w:val="24"/>
        </w:rPr>
        <w:t>лучшения качества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815F35" w:rsidRPr="00712B9E">
        <w:rPr>
          <w:rFonts w:ascii="Times New Roman" w:hAnsi="Times New Roman" w:cs="Times New Roman"/>
          <w:sz w:val="24"/>
          <w:szCs w:val="24"/>
        </w:rPr>
        <w:t>объекта учреждения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культурно-досугового типа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на этой основе повышение качества предоставляемых услуг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C748F4" w:rsidRPr="00712B9E" w:rsidRDefault="002D010A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748F4" w:rsidRPr="00712B9E">
        <w:rPr>
          <w:rFonts w:ascii="Times New Roman" w:hAnsi="Times New Roman" w:cs="Times New Roman"/>
          <w:sz w:val="24"/>
          <w:szCs w:val="24"/>
        </w:rPr>
        <w:t> увеличение количества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</w:t>
      </w:r>
      <w:r w:rsidR="00C748F4" w:rsidRPr="00712B9E">
        <w:rPr>
          <w:rFonts w:ascii="Times New Roman" w:hAnsi="Times New Roman" w:cs="Times New Roman"/>
          <w:sz w:val="24"/>
          <w:szCs w:val="24"/>
        </w:rPr>
        <w:t>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Необходимо отметить, что уровень обеспеченности населения объектами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(по количеству таких объектов) на расчетный срок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(2027 год) соответствует минимально допустимому уровню обеспеченности,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что свидетельствует об эффективности реализации мероприятий.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>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748F4" w:rsidRPr="00712B9E" w:rsidRDefault="00AC124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.1.Предложения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социально-экономического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="00C748F4" w:rsidRPr="00712B9E">
        <w:rPr>
          <w:rFonts w:ascii="Times New Roman" w:hAnsi="Times New Roman" w:cs="Times New Roman"/>
          <w:sz w:val="24"/>
          <w:szCs w:val="24"/>
        </w:rPr>
        <w:t>муниципального образования поселения</w:t>
      </w:r>
      <w:r w:rsidR="00397A7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частью 2 статьи 39 Федерального закона 172-ФЗ по решению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органов местного самоуправления могут разрабатываться, утверждаться (одобряться)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стратегия) и план мероприятий по реализации муниципальной стратегии. Таким образом,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федеральный закон 172-ФЗ наделяет муниципальные районы и городские округа (</w:t>
      </w:r>
      <w:r w:rsidR="00397A7E" w:rsidRPr="00712B9E">
        <w:rPr>
          <w:rFonts w:ascii="Times New Roman" w:hAnsi="Times New Roman" w:cs="Times New Roman"/>
          <w:sz w:val="24"/>
          <w:szCs w:val="24"/>
        </w:rPr>
        <w:t>т.е. крупные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муниципальные образования) правом подготовки указанных стратегических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Муниципальная стратегия носит комплексный характер и направлена на развитие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различных подсистем муниципальной экономики и социальной сферы. Исходя из части 2статьи 39 Федерального закона 172-ФЗ, реализация муниципальной стратегии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осуществляется путем разработки плана мероприятий по реализации муниципальной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стратегии. Кроме того, частью 5 статьи 11 Федерального закона 172-ФЗ в перечне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документов муниципального стратегического планирования предусмотрены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которые также могут применяться в качестве механизма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реализации муниципальной стратегии.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 мнению Минэкономразвития России, при наличии в муниципальном районе,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городском округе муниципальной стратегии, плана мероприятий по ее реализации 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избыточный характер и во многом дублировать положения указанных документов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стратегического планирования. В этой ситуации разработка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района, городского округа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представляется нецелесообразной.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то же время из части 2 статьи 39 Федерального закона № 172-ФЗ следует, что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районов, городских округов вправе не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принимать муниципальную стратегию и план мероприятий по ее реализации. В этом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случае приоритетные направления, цели и задачи развития муниципальных районов,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(далее – Федеральный закон № 131-ФЗ).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учетом того, что для городских и сельских поселений подготовка программ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социально-экономического развития является приоритетным инструментом обеспечения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устойчивого развития, а также в связи с отсутствием в муниципальном образовании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и плана мероприятий по реализации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стратегии социально-экономического развития рекомендуется осуществить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>разработку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программы социально-экономического развития муниципального образования.</w:t>
      </w:r>
    </w:p>
    <w:p w:rsidR="00C748F4" w:rsidRPr="00712B9E" w:rsidRDefault="00AC1245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48F4" w:rsidRPr="00712B9E">
        <w:rPr>
          <w:rFonts w:ascii="Times New Roman" w:hAnsi="Times New Roman" w:cs="Times New Roman"/>
          <w:sz w:val="24"/>
          <w:szCs w:val="24"/>
        </w:rPr>
        <w:t>.2.Предложения по совершенс</w:t>
      </w:r>
      <w:r w:rsidR="00951FC3">
        <w:rPr>
          <w:rFonts w:ascii="Times New Roman" w:hAnsi="Times New Roman" w:cs="Times New Roman"/>
          <w:sz w:val="24"/>
          <w:szCs w:val="24"/>
        </w:rPr>
        <w:t>твованию нормативно-правового и</w:t>
      </w:r>
      <w:r w:rsidR="00C748F4" w:rsidRPr="00712B9E">
        <w:rPr>
          <w:rFonts w:ascii="Times New Roman" w:hAnsi="Times New Roman" w:cs="Times New Roman"/>
          <w:sz w:val="24"/>
          <w:szCs w:val="24"/>
        </w:rPr>
        <w:t>нформационного обеспечения развития социальной инфраструктуры муниципального образования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</w:t>
      </w:r>
      <w:r w:rsidR="00AC1245">
        <w:rPr>
          <w:rFonts w:ascii="Times New Roman" w:hAnsi="Times New Roman" w:cs="Times New Roman"/>
          <w:sz w:val="24"/>
          <w:szCs w:val="24"/>
        </w:rPr>
        <w:t xml:space="preserve"> 01.10.2015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1050 «Об утверждении требований к Программам комплексного развития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социальной инфраструктуры поселений, городских округов» Программы комплексного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развития социальной инфраструктуры включают в себя мероприятия, направленные на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развитие 4-х основных областей социальной инфраструктуры: здравоохранение,</w:t>
      </w:r>
      <w:r w:rsidR="00815F35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образование, культура, физическая культура и массовый спорт.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Уровень обеспеченности населения услугами в данных областях оценивается путем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сопоставления технико-экономических показателей существующих объектов социальной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инфраструктуры с минимальным уровнем обеспеченности населения такими объектами,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установленным Местными нормативами градостроительного проектирования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Местными нормативами градостроительного проектирования муниципального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97A7E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096F1A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3C70A7" w:rsidRPr="00712B9E">
        <w:rPr>
          <w:rFonts w:ascii="Times New Roman" w:hAnsi="Times New Roman" w:cs="Times New Roman"/>
          <w:sz w:val="24"/>
          <w:szCs w:val="24"/>
        </w:rPr>
        <w:t>поселение Кильмезского района Кировской области</w:t>
      </w:r>
      <w:r w:rsidRPr="00712B9E">
        <w:rPr>
          <w:rFonts w:ascii="Times New Roman" w:hAnsi="Times New Roman" w:cs="Times New Roman"/>
          <w:sz w:val="24"/>
          <w:szCs w:val="24"/>
        </w:rPr>
        <w:t>, определен минимальный уровень обеспеченности населения</w:t>
      </w:r>
      <w:r w:rsidR="00951FC3">
        <w:rPr>
          <w:rFonts w:ascii="Times New Roman" w:hAnsi="Times New Roman" w:cs="Times New Roman"/>
          <w:sz w:val="24"/>
          <w:szCs w:val="24"/>
        </w:rPr>
        <w:t xml:space="preserve"> </w:t>
      </w:r>
      <w:r w:rsidRPr="00712B9E">
        <w:rPr>
          <w:rFonts w:ascii="Times New Roman" w:hAnsi="Times New Roman" w:cs="Times New Roman"/>
          <w:sz w:val="24"/>
          <w:szCs w:val="24"/>
        </w:rPr>
        <w:t>социальными объектами местного значения поселения.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Местными нормативами градостроительного проектирования </w:t>
      </w:r>
      <w:r w:rsidR="003C70A7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утвержденными решением Кильмезской районной Думы </w:t>
      </w:r>
      <w:r w:rsidRPr="00712B9E">
        <w:rPr>
          <w:rFonts w:ascii="Times New Roman" w:hAnsi="Times New Roman" w:cs="Times New Roman"/>
          <w:sz w:val="24"/>
          <w:szCs w:val="24"/>
        </w:rPr>
        <w:t>определен минимальный уровень обеспеченности населения социальными объектами местного значения муниципального района.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связи с тем, что нормативами градостроительного проектирования учтены все социальные объекты регионального и местного значения,</w:t>
      </w:r>
      <w:r w:rsidR="00951FC3">
        <w:rPr>
          <w:rFonts w:ascii="Times New Roman" w:hAnsi="Times New Roman" w:cs="Times New Roman"/>
          <w:sz w:val="24"/>
          <w:szCs w:val="24"/>
        </w:rPr>
        <w:t xml:space="preserve"> нормативно-правовое и</w:t>
      </w:r>
      <w:r w:rsidRPr="00712B9E">
        <w:rPr>
          <w:rFonts w:ascii="Times New Roman" w:hAnsi="Times New Roman" w:cs="Times New Roman"/>
          <w:sz w:val="24"/>
          <w:szCs w:val="24"/>
        </w:rPr>
        <w:t xml:space="preserve">нформационное обеспечение развития социальной инфраструктуры муниципального образования </w:t>
      </w:r>
      <w:r w:rsidR="003B3010">
        <w:rPr>
          <w:rFonts w:ascii="Times New Roman" w:hAnsi="Times New Roman" w:cs="Times New Roman"/>
          <w:sz w:val="24"/>
          <w:szCs w:val="24"/>
        </w:rPr>
        <w:t xml:space="preserve">Дамаскинское </w:t>
      </w:r>
      <w:r w:rsidR="003B3010" w:rsidRPr="00712B9E">
        <w:rPr>
          <w:rFonts w:ascii="Times New Roman" w:hAnsi="Times New Roman" w:cs="Times New Roman"/>
          <w:sz w:val="24"/>
          <w:szCs w:val="24"/>
        </w:rPr>
        <w:t>сельское</w:t>
      </w:r>
      <w:r w:rsidR="003C70A7" w:rsidRPr="00712B9E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3B3010" w:rsidRPr="00712B9E">
        <w:rPr>
          <w:rFonts w:ascii="Times New Roman" w:hAnsi="Times New Roman" w:cs="Times New Roman"/>
          <w:sz w:val="24"/>
          <w:szCs w:val="24"/>
        </w:rPr>
        <w:t>Кильмезского района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Кировской области находится на достаточном уровне и не требует внесения изменений.</w:t>
      </w: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410BA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C6" w:rsidRDefault="004374C6" w:rsidP="0078185D">
      <w:pPr>
        <w:spacing w:after="0" w:line="240" w:lineRule="auto"/>
      </w:pPr>
      <w:r>
        <w:separator/>
      </w:r>
    </w:p>
  </w:endnote>
  <w:endnote w:type="continuationSeparator" w:id="0">
    <w:p w:rsidR="004374C6" w:rsidRDefault="004374C6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C6" w:rsidRDefault="004374C6" w:rsidP="0078185D">
      <w:pPr>
        <w:spacing w:after="0" w:line="240" w:lineRule="auto"/>
      </w:pPr>
      <w:r>
        <w:separator/>
      </w:r>
    </w:p>
  </w:footnote>
  <w:footnote w:type="continuationSeparator" w:id="0">
    <w:p w:rsidR="004374C6" w:rsidRDefault="004374C6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077573"/>
      <w:docPartObj>
        <w:docPartGallery w:val="Page Numbers (Top of Page)"/>
        <w:docPartUnique/>
      </w:docPartObj>
    </w:sdtPr>
    <w:sdtContent>
      <w:p w:rsidR="002B3A1E" w:rsidRDefault="002B3A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0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B3A1E" w:rsidRDefault="002B3A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1E" w:rsidRPr="005A4853" w:rsidRDefault="002B3A1E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C04"/>
    <w:multiLevelType w:val="hybridMultilevel"/>
    <w:tmpl w:val="8020EB32"/>
    <w:lvl w:ilvl="0" w:tplc="2F38EC5E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65555"/>
    <w:multiLevelType w:val="hybridMultilevel"/>
    <w:tmpl w:val="947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8F4"/>
    <w:rsid w:val="00016ED1"/>
    <w:rsid w:val="0003225C"/>
    <w:rsid w:val="00037602"/>
    <w:rsid w:val="00037820"/>
    <w:rsid w:val="00047D0E"/>
    <w:rsid w:val="00057C21"/>
    <w:rsid w:val="00096F1A"/>
    <w:rsid w:val="000D7B37"/>
    <w:rsid w:val="000E13EA"/>
    <w:rsid w:val="000F1D63"/>
    <w:rsid w:val="00110BAA"/>
    <w:rsid w:val="00172F50"/>
    <w:rsid w:val="001736F4"/>
    <w:rsid w:val="001C2D31"/>
    <w:rsid w:val="001C7E31"/>
    <w:rsid w:val="001D2BDC"/>
    <w:rsid w:val="001F075F"/>
    <w:rsid w:val="001F5B82"/>
    <w:rsid w:val="00206FA6"/>
    <w:rsid w:val="00221232"/>
    <w:rsid w:val="002246D5"/>
    <w:rsid w:val="0027462C"/>
    <w:rsid w:val="002B3A1E"/>
    <w:rsid w:val="002B56C1"/>
    <w:rsid w:val="002C1A0E"/>
    <w:rsid w:val="002D010A"/>
    <w:rsid w:val="002F089E"/>
    <w:rsid w:val="00300A65"/>
    <w:rsid w:val="00306CE5"/>
    <w:rsid w:val="0031019D"/>
    <w:rsid w:val="00342470"/>
    <w:rsid w:val="00346311"/>
    <w:rsid w:val="003547BE"/>
    <w:rsid w:val="00397A7E"/>
    <w:rsid w:val="003B0136"/>
    <w:rsid w:val="003B3010"/>
    <w:rsid w:val="003C3DE7"/>
    <w:rsid w:val="003C70A7"/>
    <w:rsid w:val="003E6484"/>
    <w:rsid w:val="00410BA5"/>
    <w:rsid w:val="00431331"/>
    <w:rsid w:val="004374C6"/>
    <w:rsid w:val="00456276"/>
    <w:rsid w:val="00457146"/>
    <w:rsid w:val="00474EBC"/>
    <w:rsid w:val="00490392"/>
    <w:rsid w:val="004974D6"/>
    <w:rsid w:val="004A54D0"/>
    <w:rsid w:val="005068B0"/>
    <w:rsid w:val="00520A29"/>
    <w:rsid w:val="005365AB"/>
    <w:rsid w:val="005A42D1"/>
    <w:rsid w:val="005C2589"/>
    <w:rsid w:val="00633BFC"/>
    <w:rsid w:val="006A6889"/>
    <w:rsid w:val="006B3801"/>
    <w:rsid w:val="006E1535"/>
    <w:rsid w:val="006E7269"/>
    <w:rsid w:val="00703589"/>
    <w:rsid w:val="00712B9E"/>
    <w:rsid w:val="00734D2C"/>
    <w:rsid w:val="00752714"/>
    <w:rsid w:val="00756B5F"/>
    <w:rsid w:val="007717D2"/>
    <w:rsid w:val="00774CDA"/>
    <w:rsid w:val="00780AB7"/>
    <w:rsid w:val="0078185D"/>
    <w:rsid w:val="007C44F7"/>
    <w:rsid w:val="007D615A"/>
    <w:rsid w:val="00810CA5"/>
    <w:rsid w:val="00815F35"/>
    <w:rsid w:val="008326FA"/>
    <w:rsid w:val="00834B68"/>
    <w:rsid w:val="00877EBA"/>
    <w:rsid w:val="008866C5"/>
    <w:rsid w:val="0089163E"/>
    <w:rsid w:val="008D2AD4"/>
    <w:rsid w:val="009121E1"/>
    <w:rsid w:val="0092609A"/>
    <w:rsid w:val="009436F3"/>
    <w:rsid w:val="00951FC3"/>
    <w:rsid w:val="00956216"/>
    <w:rsid w:val="009B2ADE"/>
    <w:rsid w:val="009B4CB3"/>
    <w:rsid w:val="009C3705"/>
    <w:rsid w:val="009D4D42"/>
    <w:rsid w:val="00A93F2D"/>
    <w:rsid w:val="00AB0723"/>
    <w:rsid w:val="00AB5F83"/>
    <w:rsid w:val="00AC1245"/>
    <w:rsid w:val="00AC24C5"/>
    <w:rsid w:val="00AC568C"/>
    <w:rsid w:val="00AF27D4"/>
    <w:rsid w:val="00AF5681"/>
    <w:rsid w:val="00B50C74"/>
    <w:rsid w:val="00BA3205"/>
    <w:rsid w:val="00BC6BC8"/>
    <w:rsid w:val="00BD428B"/>
    <w:rsid w:val="00C10AF5"/>
    <w:rsid w:val="00C41751"/>
    <w:rsid w:val="00C475B5"/>
    <w:rsid w:val="00C748F4"/>
    <w:rsid w:val="00CE39B8"/>
    <w:rsid w:val="00CF19F6"/>
    <w:rsid w:val="00D1410E"/>
    <w:rsid w:val="00D325F7"/>
    <w:rsid w:val="00D36708"/>
    <w:rsid w:val="00D635FF"/>
    <w:rsid w:val="00D72C03"/>
    <w:rsid w:val="00DB511A"/>
    <w:rsid w:val="00DC3B31"/>
    <w:rsid w:val="00DD1347"/>
    <w:rsid w:val="00E6558E"/>
    <w:rsid w:val="00EA2DF8"/>
    <w:rsid w:val="00EE4753"/>
    <w:rsid w:val="00EF767B"/>
    <w:rsid w:val="00F003E8"/>
    <w:rsid w:val="00F527B4"/>
    <w:rsid w:val="00F57CC5"/>
    <w:rsid w:val="00F65FC5"/>
    <w:rsid w:val="00FD0271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0E15-3D2F-4216-852B-CA255E4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2018-01-25T11:14:00Z</cp:lastPrinted>
  <dcterms:created xsi:type="dcterms:W3CDTF">2017-12-20T10:27:00Z</dcterms:created>
  <dcterms:modified xsi:type="dcterms:W3CDTF">2018-04-10T09:21:00Z</dcterms:modified>
</cp:coreProperties>
</file>